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E28" w:rsidRPr="00415E28" w:rsidRDefault="00876FD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15E28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57723B" w:rsidRPr="00415E28" w:rsidRDefault="00876FD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15E28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415E28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415E28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415E28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415E28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57723B" w:rsidRPr="00415E28" w:rsidRDefault="00876FD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415E28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415E28">
        <w:rPr>
          <w:rFonts w:ascii="Book Antiqua" w:hAnsi="Book Antiqua"/>
          <w:b/>
          <w:bCs/>
          <w:sz w:val="21"/>
          <w:szCs w:val="21"/>
        </w:rPr>
        <w:t xml:space="preserve"> telekadóról szóló 23/2003.(XII.23.) önkormányzati rendelet módosításáról</w:t>
      </w:r>
    </w:p>
    <w:p w:rsidR="0057723B" w:rsidRPr="00415E28" w:rsidRDefault="00876FDB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 xml:space="preserve">Délegyháza Község Önkormányzat Képviselő-testülete a helyi adóról szóló 1990. évi C. </w:t>
      </w:r>
      <w:r w:rsidRPr="00415E28">
        <w:rPr>
          <w:rFonts w:ascii="Book Antiqua" w:hAnsi="Book Antiqua"/>
          <w:sz w:val="21"/>
          <w:szCs w:val="21"/>
        </w:rPr>
        <w:t>törvény 1. § (1) bekezdésében kapott felhatalmazás alapján, az Alaptörvény 32. cikk (1) bekezdés a) és h) pontjában meghatározott feladatkörében eljárva a telekadóról szóló 23/2003. (XII.23.) önkormányzati rendelet módosításáról a következőket rendeli el:</w:t>
      </w:r>
    </w:p>
    <w:p w:rsidR="0057723B" w:rsidRPr="00415E28" w:rsidRDefault="00876FD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15E28">
        <w:rPr>
          <w:rFonts w:ascii="Book Antiqua" w:hAnsi="Book Antiqua"/>
          <w:b/>
          <w:bCs/>
          <w:sz w:val="21"/>
          <w:szCs w:val="21"/>
        </w:rPr>
        <w:t>1. §</w:t>
      </w:r>
    </w:p>
    <w:p w:rsidR="0057723B" w:rsidRPr="00415E28" w:rsidRDefault="00876FD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>(1) A telekadóról szóló 23/2003.(XII.23.) önkormányzati rendelet 4. § (1) bekezdés a) és b) pontja helyébe a következő rendelkezések lépnek:</w:t>
      </w:r>
    </w:p>
    <w:p w:rsidR="0057723B" w:rsidRPr="00415E28" w:rsidRDefault="00876FDB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415E28">
        <w:rPr>
          <w:rFonts w:ascii="Book Antiqua" w:hAnsi="Book Antiqua"/>
          <w:i/>
          <w:iCs/>
          <w:sz w:val="21"/>
          <w:szCs w:val="21"/>
        </w:rPr>
        <w:t>(A telekadó évi mértéke)</w:t>
      </w:r>
    </w:p>
    <w:p w:rsidR="0057723B" w:rsidRPr="00415E28" w:rsidRDefault="00876FD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>„</w:t>
      </w:r>
      <w:r w:rsidRPr="00415E28">
        <w:rPr>
          <w:rFonts w:ascii="Book Antiqua" w:hAnsi="Book Antiqua"/>
          <w:i/>
          <w:iCs/>
          <w:sz w:val="21"/>
          <w:szCs w:val="21"/>
        </w:rPr>
        <w:t>a)</w:t>
      </w:r>
      <w:r w:rsidRPr="00415E28">
        <w:rPr>
          <w:rFonts w:ascii="Book Antiqua" w:hAnsi="Book Antiqua"/>
          <w:sz w:val="21"/>
          <w:szCs w:val="21"/>
        </w:rPr>
        <w:tab/>
        <w:t>belterületi telek esetén 143,- Ft/m</w:t>
      </w:r>
      <w:r w:rsidRPr="00415E28">
        <w:rPr>
          <w:rFonts w:ascii="Book Antiqua" w:hAnsi="Book Antiqua"/>
          <w:sz w:val="21"/>
          <w:szCs w:val="21"/>
          <w:vertAlign w:val="superscript"/>
        </w:rPr>
        <w:t>2</w:t>
      </w:r>
      <w:r w:rsidRPr="00415E28">
        <w:rPr>
          <w:rFonts w:ascii="Book Antiqua" w:hAnsi="Book Antiqua"/>
          <w:sz w:val="21"/>
          <w:szCs w:val="21"/>
        </w:rPr>
        <w:t>/év,</w:t>
      </w:r>
    </w:p>
    <w:p w:rsidR="0057723B" w:rsidRPr="00415E28" w:rsidRDefault="00876FDB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i/>
          <w:iCs/>
          <w:sz w:val="21"/>
          <w:szCs w:val="21"/>
        </w:rPr>
        <w:t>b)</w:t>
      </w:r>
      <w:r w:rsidRPr="00415E28">
        <w:rPr>
          <w:rFonts w:ascii="Book Antiqua" w:hAnsi="Book Antiqua"/>
          <w:sz w:val="21"/>
          <w:szCs w:val="21"/>
        </w:rPr>
        <w:tab/>
        <w:t>külterületi telek esetén 15,- Ft/ m</w:t>
      </w:r>
      <w:r w:rsidRPr="00415E28">
        <w:rPr>
          <w:rFonts w:ascii="Book Antiqua" w:hAnsi="Book Antiqua"/>
          <w:sz w:val="21"/>
          <w:szCs w:val="21"/>
          <w:vertAlign w:val="superscript"/>
        </w:rPr>
        <w:t>2</w:t>
      </w:r>
      <w:r w:rsidRPr="00415E28">
        <w:rPr>
          <w:rFonts w:ascii="Book Antiqua" w:hAnsi="Book Antiqua"/>
          <w:sz w:val="21"/>
          <w:szCs w:val="21"/>
        </w:rPr>
        <w:t>/</w:t>
      </w:r>
      <w:r w:rsidRPr="00415E28">
        <w:rPr>
          <w:rFonts w:ascii="Book Antiqua" w:hAnsi="Book Antiqua"/>
          <w:sz w:val="21"/>
          <w:szCs w:val="21"/>
        </w:rPr>
        <w:t>év.”</w:t>
      </w:r>
    </w:p>
    <w:p w:rsidR="0057723B" w:rsidRPr="00415E28" w:rsidRDefault="00876FD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>(2) A telekadóról szóló 23/2003.(XII.23.) önkormányzati rendelet 4. § (2) bekezdése helyébe a következő rendelkezés lép:</w:t>
      </w:r>
    </w:p>
    <w:p w:rsidR="0057723B" w:rsidRPr="00415E28" w:rsidRDefault="00876FDB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 xml:space="preserve">„(2) Az (1) bekezdés b) pontjában foglaltaktól eltérőn a 038, 041 és 043 </w:t>
      </w:r>
      <w:proofErr w:type="spellStart"/>
      <w:r w:rsidRPr="00415E28">
        <w:rPr>
          <w:rFonts w:ascii="Book Antiqua" w:hAnsi="Book Antiqua"/>
          <w:sz w:val="21"/>
          <w:szCs w:val="21"/>
        </w:rPr>
        <w:t>hrsz-ú</w:t>
      </w:r>
      <w:proofErr w:type="spellEnd"/>
      <w:r w:rsidRPr="00415E28">
        <w:rPr>
          <w:rFonts w:ascii="Book Antiqua" w:hAnsi="Book Antiqua"/>
          <w:sz w:val="21"/>
          <w:szCs w:val="21"/>
        </w:rPr>
        <w:t xml:space="preserve"> kivett csatorna, a 045 és 040 </w:t>
      </w:r>
      <w:proofErr w:type="spellStart"/>
      <w:r w:rsidRPr="00415E28">
        <w:rPr>
          <w:rFonts w:ascii="Book Antiqua" w:hAnsi="Book Antiqua"/>
          <w:sz w:val="21"/>
          <w:szCs w:val="21"/>
        </w:rPr>
        <w:t>hrsz-ú</w:t>
      </w:r>
      <w:proofErr w:type="spellEnd"/>
      <w:r w:rsidRPr="00415E28">
        <w:rPr>
          <w:rFonts w:ascii="Book Antiqua" w:hAnsi="Book Antiqua"/>
          <w:sz w:val="21"/>
          <w:szCs w:val="21"/>
        </w:rPr>
        <w:t xml:space="preserve"> közút, és a 0</w:t>
      </w:r>
      <w:r w:rsidRPr="00415E28">
        <w:rPr>
          <w:rFonts w:ascii="Book Antiqua" w:hAnsi="Book Antiqua"/>
          <w:sz w:val="21"/>
          <w:szCs w:val="21"/>
        </w:rPr>
        <w:t xml:space="preserve">44/7 </w:t>
      </w:r>
      <w:proofErr w:type="spellStart"/>
      <w:r w:rsidRPr="00415E28">
        <w:rPr>
          <w:rFonts w:ascii="Book Antiqua" w:hAnsi="Book Antiqua"/>
          <w:sz w:val="21"/>
          <w:szCs w:val="21"/>
        </w:rPr>
        <w:t>hrsz-ú</w:t>
      </w:r>
      <w:proofErr w:type="spellEnd"/>
      <w:r w:rsidRPr="00415E28">
        <w:rPr>
          <w:rFonts w:ascii="Book Antiqua" w:hAnsi="Book Antiqua"/>
          <w:sz w:val="21"/>
          <w:szCs w:val="21"/>
        </w:rPr>
        <w:t xml:space="preserve"> kivett strand és a hozzá kapcsolódó 044/80 és 044/81 </w:t>
      </w:r>
      <w:proofErr w:type="spellStart"/>
      <w:r w:rsidRPr="00415E28">
        <w:rPr>
          <w:rFonts w:ascii="Book Antiqua" w:hAnsi="Book Antiqua"/>
          <w:sz w:val="21"/>
          <w:szCs w:val="21"/>
        </w:rPr>
        <w:t>hrsz-ú</w:t>
      </w:r>
      <w:proofErr w:type="spellEnd"/>
      <w:r w:rsidRPr="00415E28">
        <w:rPr>
          <w:rFonts w:ascii="Book Antiqua" w:hAnsi="Book Antiqua"/>
          <w:sz w:val="21"/>
          <w:szCs w:val="21"/>
        </w:rPr>
        <w:t xml:space="preserve"> kivett bányató ingatlanok által körbehatárolt területen fekvő külterületi telkek esetén a telekadó évi mértéke 143,- Ft/m</w:t>
      </w:r>
      <w:r w:rsidRPr="00415E28">
        <w:rPr>
          <w:rFonts w:ascii="Book Antiqua" w:hAnsi="Book Antiqua"/>
          <w:sz w:val="21"/>
          <w:szCs w:val="21"/>
          <w:vertAlign w:val="superscript"/>
        </w:rPr>
        <w:t>2</w:t>
      </w:r>
      <w:r w:rsidRPr="00415E28">
        <w:rPr>
          <w:rFonts w:ascii="Book Antiqua" w:hAnsi="Book Antiqua"/>
          <w:sz w:val="21"/>
          <w:szCs w:val="21"/>
        </w:rPr>
        <w:t>/év.”</w:t>
      </w:r>
    </w:p>
    <w:p w:rsidR="0057723B" w:rsidRPr="00415E28" w:rsidRDefault="00876FD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15E28">
        <w:rPr>
          <w:rFonts w:ascii="Book Antiqua" w:hAnsi="Book Antiqua"/>
          <w:b/>
          <w:bCs/>
          <w:sz w:val="21"/>
          <w:szCs w:val="21"/>
        </w:rPr>
        <w:t>2. §</w:t>
      </w:r>
    </w:p>
    <w:p w:rsidR="0057723B" w:rsidRPr="00415E28" w:rsidRDefault="00876FD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>A telekadóról szóló 23/2003.(XII.23.) önkormányzati</w:t>
      </w:r>
      <w:r w:rsidRPr="00415E28">
        <w:rPr>
          <w:rFonts w:ascii="Book Antiqua" w:hAnsi="Book Antiqua"/>
          <w:sz w:val="21"/>
          <w:szCs w:val="21"/>
        </w:rPr>
        <w:t xml:space="preserve"> rendelet „Adómentesség, adókedvezmény” alcíme a következő 6/B. §</w:t>
      </w:r>
      <w:proofErr w:type="spellStart"/>
      <w:r w:rsidRPr="00415E28">
        <w:rPr>
          <w:rFonts w:ascii="Book Antiqua" w:hAnsi="Book Antiqua"/>
          <w:sz w:val="21"/>
          <w:szCs w:val="21"/>
        </w:rPr>
        <w:t>-sal</w:t>
      </w:r>
      <w:proofErr w:type="spellEnd"/>
      <w:r w:rsidRPr="00415E28">
        <w:rPr>
          <w:rFonts w:ascii="Book Antiqua" w:hAnsi="Book Antiqua"/>
          <w:sz w:val="21"/>
          <w:szCs w:val="21"/>
        </w:rPr>
        <w:t xml:space="preserve"> egészül ki:</w:t>
      </w:r>
    </w:p>
    <w:p w:rsidR="0057723B" w:rsidRPr="00415E28" w:rsidRDefault="00876FD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15E28">
        <w:rPr>
          <w:rFonts w:ascii="Book Antiqua" w:hAnsi="Book Antiqua"/>
          <w:b/>
          <w:bCs/>
          <w:sz w:val="21"/>
          <w:szCs w:val="21"/>
        </w:rPr>
        <w:t>„6/B. §</w:t>
      </w:r>
    </w:p>
    <w:p w:rsidR="0057723B" w:rsidRPr="00415E28" w:rsidRDefault="00876FD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>(1) Amennyiben a nem vállalkozó magánszemély adóalany a telkén lévő építményt életvitelszerűen lakóhelyéül használja, az ezen telek után fizetendő telekadó évi mérték</w:t>
      </w:r>
      <w:r w:rsidRPr="00415E28">
        <w:rPr>
          <w:rFonts w:ascii="Book Antiqua" w:hAnsi="Book Antiqua"/>
          <w:sz w:val="21"/>
          <w:szCs w:val="21"/>
        </w:rPr>
        <w:t xml:space="preserve">e nem haladhatja meg a 240.000 Ft-ot, abban az esetben sem, ha a 4.§ szerinti adómértékkel számolt telekadó összege ennél magasabb. </w:t>
      </w:r>
    </w:p>
    <w:p w:rsidR="0057723B" w:rsidRPr="00415E28" w:rsidRDefault="00876FD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 xml:space="preserve">(2) Az (1) bekezdésben foglalt feltétel fennállását az adóalany nevére szóló, az életvitelszerű </w:t>
      </w:r>
      <w:proofErr w:type="spellStart"/>
      <w:r w:rsidRPr="00415E28">
        <w:rPr>
          <w:rFonts w:ascii="Book Antiqua" w:hAnsi="Book Antiqua"/>
          <w:sz w:val="21"/>
          <w:szCs w:val="21"/>
        </w:rPr>
        <w:t>ottlakás</w:t>
      </w:r>
      <w:proofErr w:type="spellEnd"/>
      <w:r w:rsidRPr="00415E28">
        <w:rPr>
          <w:rFonts w:ascii="Book Antiqua" w:hAnsi="Book Antiqua"/>
          <w:sz w:val="21"/>
          <w:szCs w:val="21"/>
        </w:rPr>
        <w:t xml:space="preserve"> tényét igazoló men</w:t>
      </w:r>
      <w:r w:rsidRPr="00415E28">
        <w:rPr>
          <w:rFonts w:ascii="Book Antiqua" w:hAnsi="Book Antiqua"/>
          <w:sz w:val="21"/>
          <w:szCs w:val="21"/>
        </w:rPr>
        <w:t>nyiségű fogyasztást tartalmazó közüzemi számlákkal kell igazolni, az adókötelezettség keletkezésének évében az adatbejelentés mellékleteként. Ezt követően csak abban az esetben kell azokat ismételten benyújtani, ha az adókötelezettséget érintően változás k</w:t>
      </w:r>
      <w:r w:rsidRPr="00415E28">
        <w:rPr>
          <w:rFonts w:ascii="Book Antiqua" w:hAnsi="Book Antiqua"/>
          <w:sz w:val="21"/>
          <w:szCs w:val="21"/>
        </w:rPr>
        <w:t>övetkezik be. Amennyiben az adatbejelentés nem az adókötelezettség évében kerül benyújtásra, hanem utólagosan, úgy a kedvezményt az eltelt adóévekre vonatkozóan is igazolni kell.</w:t>
      </w:r>
    </w:p>
    <w:p w:rsidR="0057723B" w:rsidRPr="00415E28" w:rsidRDefault="00876FDB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>(3) Az adóhatóság a kedvezmény fennállásának tényét helyszíni ellenőrzés sorá</w:t>
      </w:r>
      <w:r w:rsidRPr="00415E28">
        <w:rPr>
          <w:rFonts w:ascii="Book Antiqua" w:hAnsi="Book Antiqua"/>
          <w:sz w:val="21"/>
          <w:szCs w:val="21"/>
        </w:rPr>
        <w:t xml:space="preserve">n jogosult felülvizsgálni és amennyiben megállapítja, hogy az (1) bekezdés szerint az ingatlant ténylegesen nem </w:t>
      </w:r>
      <w:r w:rsidRPr="00415E28">
        <w:rPr>
          <w:rFonts w:ascii="Book Antiqua" w:hAnsi="Book Antiqua"/>
          <w:sz w:val="21"/>
          <w:szCs w:val="21"/>
        </w:rPr>
        <w:lastRenderedPageBreak/>
        <w:t>lakják, vagy nem az adóalany használja életvitelszerűen, úgy jogosult a kedvezmény vélelmét megdönteni és az adót kivetni.”</w:t>
      </w:r>
    </w:p>
    <w:p w:rsidR="0057723B" w:rsidRPr="00415E28" w:rsidRDefault="00876FD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15E28">
        <w:rPr>
          <w:rFonts w:ascii="Book Antiqua" w:hAnsi="Book Antiqua"/>
          <w:b/>
          <w:bCs/>
          <w:sz w:val="21"/>
          <w:szCs w:val="21"/>
        </w:rPr>
        <w:t>3. §</w:t>
      </w:r>
    </w:p>
    <w:p w:rsidR="00415E28" w:rsidRDefault="00876FD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15E28">
        <w:rPr>
          <w:rFonts w:ascii="Book Antiqua" w:hAnsi="Book Antiqua"/>
          <w:sz w:val="21"/>
          <w:szCs w:val="21"/>
        </w:rPr>
        <w:t>Ez a rendelet 2025. január 1-jén lép hatályba.</w:t>
      </w:r>
    </w:p>
    <w:p w:rsidR="00415E28" w:rsidRDefault="00415E2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415E28" w:rsidRDefault="00415E2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415E28" w:rsidRPr="003641B1" w:rsidRDefault="00415E28" w:rsidP="00415E28">
      <w:pPr>
        <w:spacing w:after="12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3641B1">
        <w:rPr>
          <w:rFonts w:ascii="Book Antiqua" w:hAnsi="Book Antiqua" w:cs="Arial"/>
          <w:color w:val="000000"/>
          <w:sz w:val="21"/>
          <w:szCs w:val="21"/>
        </w:rPr>
        <w:t>Délegyháza, 2024. november 27.</w:t>
      </w:r>
    </w:p>
    <w:p w:rsidR="00415E28" w:rsidRPr="003641B1" w:rsidRDefault="00415E28" w:rsidP="00415E28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415E28" w:rsidRPr="003641B1" w:rsidRDefault="00415E28" w:rsidP="00415E28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ab/>
      </w:r>
      <w:proofErr w:type="gramStart"/>
      <w:r w:rsidRPr="003641B1">
        <w:rPr>
          <w:rFonts w:ascii="Book Antiqua" w:hAnsi="Book Antiqua" w:cs="Tahoma"/>
          <w:sz w:val="21"/>
          <w:szCs w:val="21"/>
        </w:rPr>
        <w:t>dr.</w:t>
      </w:r>
      <w:proofErr w:type="gramEnd"/>
      <w:r w:rsidRPr="003641B1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3641B1">
        <w:rPr>
          <w:rFonts w:ascii="Book Antiqua" w:hAnsi="Book Antiqua" w:cs="Tahoma"/>
          <w:sz w:val="21"/>
          <w:szCs w:val="21"/>
        </w:rPr>
        <w:t>Riebl</w:t>
      </w:r>
      <w:proofErr w:type="spellEnd"/>
      <w:r w:rsidRPr="003641B1">
        <w:rPr>
          <w:rFonts w:ascii="Book Antiqua" w:hAnsi="Book Antiqua" w:cs="Tahoma"/>
          <w:sz w:val="21"/>
          <w:szCs w:val="21"/>
        </w:rPr>
        <w:t xml:space="preserve"> Antal</w:t>
      </w:r>
      <w:r w:rsidRPr="003641B1">
        <w:rPr>
          <w:rFonts w:ascii="Book Antiqua" w:hAnsi="Book Antiqua" w:cs="Tahoma"/>
          <w:sz w:val="21"/>
          <w:szCs w:val="21"/>
        </w:rPr>
        <w:tab/>
        <w:t>dr. Molnár Zsuzsanna</w:t>
      </w:r>
    </w:p>
    <w:p w:rsidR="00415E28" w:rsidRPr="003641B1" w:rsidRDefault="00415E28" w:rsidP="00415E28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ab/>
      </w:r>
      <w:proofErr w:type="gramStart"/>
      <w:r w:rsidRPr="003641B1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3641B1">
        <w:rPr>
          <w:rFonts w:ascii="Book Antiqua" w:hAnsi="Book Antiqua" w:cs="Tahoma"/>
          <w:sz w:val="21"/>
          <w:szCs w:val="21"/>
        </w:rPr>
        <w:t xml:space="preserve"> </w:t>
      </w:r>
      <w:r w:rsidRPr="003641B1">
        <w:rPr>
          <w:rFonts w:ascii="Book Antiqua" w:hAnsi="Book Antiqua" w:cs="Tahoma"/>
          <w:sz w:val="21"/>
          <w:szCs w:val="21"/>
        </w:rPr>
        <w:tab/>
        <w:t>jegyző</w:t>
      </w:r>
    </w:p>
    <w:p w:rsidR="00415E28" w:rsidRPr="003641B1" w:rsidRDefault="00415E28" w:rsidP="00415E28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415E28" w:rsidRPr="003641B1" w:rsidRDefault="00415E28" w:rsidP="00415E28">
      <w:pPr>
        <w:rPr>
          <w:rFonts w:ascii="Book Antiqua" w:hAnsi="Book Antiqua" w:cs="Tahoma"/>
          <w:sz w:val="21"/>
          <w:szCs w:val="21"/>
        </w:rPr>
      </w:pPr>
    </w:p>
    <w:p w:rsidR="00415E28" w:rsidRPr="003641B1" w:rsidRDefault="00415E28" w:rsidP="00415E28">
      <w:pPr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>A rendelet kihirdetve:</w:t>
      </w:r>
    </w:p>
    <w:p w:rsidR="00415E28" w:rsidRPr="003641B1" w:rsidRDefault="00415E28" w:rsidP="00415E28">
      <w:pPr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 xml:space="preserve">Délegyháza, 2024. </w:t>
      </w:r>
      <w:proofErr w:type="gramStart"/>
      <w:r w:rsidRPr="003641B1">
        <w:rPr>
          <w:rFonts w:ascii="Book Antiqua" w:hAnsi="Book Antiqua" w:cs="Tahoma"/>
          <w:sz w:val="21"/>
          <w:szCs w:val="21"/>
        </w:rPr>
        <w:t>november …</w:t>
      </w:r>
      <w:proofErr w:type="gramEnd"/>
      <w:r w:rsidRPr="003641B1">
        <w:rPr>
          <w:rFonts w:ascii="Book Antiqua" w:hAnsi="Book Antiqua" w:cs="Tahoma"/>
          <w:sz w:val="21"/>
          <w:szCs w:val="21"/>
        </w:rPr>
        <w:t xml:space="preserve">….. napján: </w:t>
      </w:r>
    </w:p>
    <w:p w:rsidR="00415E28" w:rsidRPr="003641B1" w:rsidRDefault="00415E28" w:rsidP="00415E28">
      <w:pPr>
        <w:tabs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ab/>
      </w:r>
      <w:proofErr w:type="gramStart"/>
      <w:r w:rsidRPr="003641B1">
        <w:rPr>
          <w:rFonts w:ascii="Book Antiqua" w:hAnsi="Book Antiqua" w:cs="Tahoma"/>
          <w:sz w:val="21"/>
          <w:szCs w:val="21"/>
        </w:rPr>
        <w:t>dr.</w:t>
      </w:r>
      <w:proofErr w:type="gramEnd"/>
      <w:r w:rsidRPr="003641B1">
        <w:rPr>
          <w:rFonts w:ascii="Book Antiqua" w:hAnsi="Book Antiqua" w:cs="Tahoma"/>
          <w:sz w:val="21"/>
          <w:szCs w:val="21"/>
        </w:rPr>
        <w:t xml:space="preserve"> Molnár Zsuzsanna</w:t>
      </w:r>
    </w:p>
    <w:p w:rsidR="00415E28" w:rsidRDefault="00415E2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</w:r>
      <w:r w:rsidRPr="003641B1">
        <w:rPr>
          <w:rFonts w:ascii="Book Antiqua" w:hAnsi="Book Antiqua" w:cs="Tahoma"/>
          <w:sz w:val="21"/>
          <w:szCs w:val="21"/>
        </w:rPr>
        <w:tab/>
        <w:t xml:space="preserve">    </w:t>
      </w:r>
      <w:proofErr w:type="gramStart"/>
      <w:r w:rsidRPr="003641B1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876FDB" w:rsidRDefault="00876FD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876FDB" w:rsidRPr="00415E28" w:rsidRDefault="00876FD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  <w:sectPr w:rsidR="00876FDB" w:rsidRPr="00415E2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bookmarkStart w:id="0" w:name="_GoBack"/>
      <w:bookmarkEnd w:id="0"/>
    </w:p>
    <w:p w:rsidR="0057723B" w:rsidRPr="00415E28" w:rsidRDefault="0057723B" w:rsidP="00415E28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</w:p>
    <w:sectPr w:rsidR="0057723B" w:rsidRPr="00415E2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76FDB">
      <w:r>
        <w:separator/>
      </w:r>
    </w:p>
  </w:endnote>
  <w:endnote w:type="continuationSeparator" w:id="0">
    <w:p w:rsidR="00000000" w:rsidRDefault="0087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23B" w:rsidRDefault="00876FD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23B" w:rsidRDefault="00876FD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76FDB">
      <w:r>
        <w:separator/>
      </w:r>
    </w:p>
  </w:footnote>
  <w:footnote w:type="continuationSeparator" w:id="0">
    <w:p w:rsidR="00000000" w:rsidRDefault="00876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75C"/>
    <w:multiLevelType w:val="multilevel"/>
    <w:tmpl w:val="3EDE2F7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3B"/>
    <w:rsid w:val="002638AC"/>
    <w:rsid w:val="00415E28"/>
    <w:rsid w:val="0057723B"/>
    <w:rsid w:val="005E021A"/>
    <w:rsid w:val="00743C0A"/>
    <w:rsid w:val="0087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60C7D-72B1-47BD-964C-3D408F58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15E28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5</cp:revision>
  <dcterms:created xsi:type="dcterms:W3CDTF">2024-11-12T11:28:00Z</dcterms:created>
  <dcterms:modified xsi:type="dcterms:W3CDTF">2024-11-12T11:29:00Z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